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Times New Roman" w:cs="Times New Roman"/>
        </w:rPr>
      </w:pPr>
      <w:bookmarkStart w:id="0" w:name="_GoBack"/>
      <w:bookmarkEnd w:id="0"/>
    </w:p>
    <w:p>
      <w:pPr>
        <w:spacing w:after="0"/>
        <w:rPr>
          <w:rFonts w:ascii="Times New Roman" w:hAnsi="Times New Roman" w:eastAsia="Times New Roman" w:cs="Times New Roman"/>
        </w:rPr>
      </w:pPr>
    </w:p>
    <w:p>
      <w:pPr>
        <w:spacing w:after="0"/>
        <w:rPr>
          <w:rFonts w:ascii="Times New Roman" w:hAnsi="Times New Roman" w:eastAsia="Times New Roman" w:cs="Times New Roman"/>
        </w:rPr>
      </w:pPr>
    </w:p>
    <w:tbl>
      <w:tblPr>
        <w:tblStyle w:val="3"/>
        <w:tblW w:w="8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4"/>
        <w:gridCol w:w="4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414" w:type="dxa"/>
            <w:shd w:val="clear" w:color="auto" w:fill="D9E2F3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(попуњава јединица локалне самоуправе)</w:t>
            </w:r>
          </w:p>
          <w:p>
            <w:pPr>
              <w:rPr>
                <w:rFonts w:ascii="Times New Roman" w:hAnsi="Times New Roman" w:eastAsia="Times New Roman" w:cs="Times New Roman"/>
                <w:i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СПРОВОЂЕЊЕ МЕРЕ  ЕНЕРГЕТСКЕ САНАЦИЈЕ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ЕНЕРГЕТСКЕ САНАЦИЈЕ У ДОМАЋИНСТВИМА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у 2022 години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i/>
          <w:sz w:val="40"/>
          <w:szCs w:val="40"/>
        </w:rPr>
      </w:pPr>
      <w:r>
        <w:rPr>
          <w:rFonts w:ascii="Times New Roman" w:hAnsi="Times New Roman" w:eastAsia="Times New Roman" w:cs="Times New Roman"/>
          <w:b/>
          <w:i/>
          <w:sz w:val="40"/>
          <w:szCs w:val="40"/>
        </w:rPr>
        <w:t>ПРИЈАВНИ ФОРМУЛАР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3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5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b/>
        </w:rPr>
      </w:pPr>
    </w:p>
    <w:p>
      <w:pPr>
        <w:spacing w:after="0"/>
        <w:rPr>
          <w:rFonts w:ascii="Times New Roman" w:hAnsi="Times New Roman" w:eastAsia="Times New Roman" w:cs="Times New Roman"/>
        </w:rPr>
      </w:pPr>
      <w:r>
        <w:br w:type="page"/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ПРИЈАВА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 ЈАВНИ ПОЗИВ ЗА УЧЕШЋЕ ПРИВРЕДНИХ СУБЈЕКАТА У СПРОВОЂЕЊУ МЕРЕ ЕНЕРГЕТСКЕ САНАЦИЈЕ У ДОМАЋИНСТВИМА</w:t>
      </w:r>
      <w: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</w:t>
      </w:r>
    </w:p>
    <w:p>
      <w:pPr>
        <w:spacing w:after="0"/>
        <w:ind w:left="36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1. ОСНОВНИ ПОДАЦИ О ПРИВРЕДНОМ СУБЈЕКТУ</w:t>
      </w:r>
    </w:p>
    <w:tbl>
      <w:tblPr>
        <w:tblStyle w:val="3"/>
        <w:tblW w:w="9262" w:type="dxa"/>
        <w:tblInd w:w="8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493"/>
        <w:gridCol w:w="2853"/>
        <w:gridCol w:w="424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Пун назив привредног субјекта 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Правна форма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Матични број 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Порески идентификациони број 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Седиште 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Јединица локалне самоуправе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Поштански број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Адреса за слање поште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(навести и поштански број)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Број телефона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Број факса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Електронска пошта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Интернет адреса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 2. ПОДАЦИ О ЗАКОНСКОМ ЗАСТУПНИКУ</w:t>
      </w:r>
    </w:p>
    <w:tbl>
      <w:tblPr>
        <w:tblStyle w:val="3"/>
        <w:tblW w:w="924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033"/>
        <w:gridCol w:w="45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right" w:pos="8789"/>
              </w:tabs>
              <w:ind w:left="72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Noto Sans Symbols" w:hAnsi="Noto Sans Symbols" w:eastAsia="Noto Sans Symbols" w:cs="Noto Sans Symbols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мушки            </w:t>
            </w:r>
            <w:r>
              <w:rPr>
                <w:rFonts w:ascii="Noto Sans Symbols" w:hAnsi="Noto Sans Symbols" w:eastAsia="Noto Sans Symbols" w:cs="Noto Sans Symbols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женски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Мобилни телефон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ind w:right="-10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</w:p>
        </w:tc>
      </w:tr>
    </w:tbl>
    <w:p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tabs>
          <w:tab w:val="left" w:pos="11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</w:p>
    <w:p>
      <w:pPr>
        <w:tabs>
          <w:tab w:val="left" w:pos="11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3. ПРОФИЛ ПРИВРЕДНОГ СУБЈЕКТА</w:t>
      </w:r>
    </w:p>
    <w:tbl>
      <w:tblPr>
        <w:tblStyle w:val="3"/>
        <w:tblW w:w="9266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049"/>
        <w:gridCol w:w="4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Према подацима из финансијског извештаја за 2021. годину привредни субјект је разврстан у: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микро </w:t>
            </w:r>
          </w:p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мало</w:t>
            </w:r>
          </w:p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средње</w:t>
            </w:r>
          </w:p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Noto Sans Symbols" w:hAnsi="Noto Sans Symbols" w:eastAsia="Noto Sans Symbols" w:cs="Noto Sans Symbols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остало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Опис делатности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5"/>
            <w:vAlign w:val="center"/>
          </w:tcPr>
          <w:p>
            <w:pPr>
              <w:tabs>
                <w:tab w:val="right" w:pos="878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4. ЦЕНОВНИК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Напомена – све цене морају бити дате у РСД са ПДВ-ом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4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5"/>
        <w:gridCol w:w="1620"/>
        <w:gridCol w:w="135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455" w:type="dxa"/>
            <w:gridSpan w:val="4"/>
            <w:shd w:val="clear" w:color="auto" w:fill="8EAADB"/>
          </w:tcPr>
          <w:p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*Уградња соларних панела капацитета 6 kW инсталисане снаге, пратећих носача панела, инвертера и остале неопходне инсталације за производњу електричне енергије, уградња двосмерног мерног уређаја за мерење предате и примљене електричне енергије,  израда 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035" w:type="dxa"/>
            <w:shd w:val="clear" w:color="auto" w:fill="B4C6E7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Назив производа</w:t>
            </w:r>
          </w:p>
        </w:tc>
        <w:tc>
          <w:tcPr>
            <w:tcW w:w="1620" w:type="dxa"/>
            <w:shd w:val="clear" w:color="auto" w:fill="B4C6E7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Цена материјала </w:t>
            </w:r>
          </w:p>
        </w:tc>
        <w:tc>
          <w:tcPr>
            <w:tcW w:w="1350" w:type="dxa"/>
            <w:shd w:val="clear" w:color="auto" w:fill="B4C6E7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Цена уградње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50" w:type="dxa"/>
            <w:shd w:val="clear" w:color="auto" w:fill="B4C6E7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Укупна цена 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035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5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035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5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035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5D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(унети укупну цену)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 Цене дати по наведним ставкама а потребну опрему предвидети по Правилима о раду дистрибутивног система ОДС-а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4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5"/>
        <w:gridCol w:w="1620"/>
        <w:gridCol w:w="135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455" w:type="dxa"/>
            <w:gridSpan w:val="4"/>
            <w:shd w:val="clear" w:color="auto" w:fill="8EAADB"/>
          </w:tcPr>
          <w:p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Уградња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035" w:type="dxa"/>
            <w:shd w:val="clear" w:color="auto" w:fill="B4C6E7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Назив производа</w:t>
            </w:r>
          </w:p>
        </w:tc>
        <w:tc>
          <w:tcPr>
            <w:tcW w:w="1620" w:type="dxa"/>
            <w:shd w:val="clear" w:color="auto" w:fill="B4C6E7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Цена материјала </w:t>
            </w:r>
          </w:p>
        </w:tc>
        <w:tc>
          <w:tcPr>
            <w:tcW w:w="1350" w:type="dxa"/>
            <w:shd w:val="clear" w:color="auto" w:fill="B4C6E7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Цена уградње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50" w:type="dxa"/>
            <w:shd w:val="clear" w:color="auto" w:fill="B4C6E7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Укупна цена 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035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 </w:t>
            </w:r>
          </w:p>
        </w:tc>
        <w:tc>
          <w:tcPr>
            <w:tcW w:w="162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5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035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5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50" w:type="dxa"/>
            <w:shd w:val="clear" w:color="auto" w:fill="FBE5D5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*Навести у оквиру опремања система грејања са којим уређајем се конкурише и цену</w:t>
      </w:r>
    </w:p>
    <w:p>
      <w:pPr>
        <w:spacing w:after="0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5. Рок важења цена и гаранције</w:t>
      </w:r>
    </w:p>
    <w:p>
      <w:pPr>
        <w:spacing w:after="0" w:line="276" w:lineRule="auto"/>
        <w:rPr>
          <w:rFonts w:ascii="Times New Roman" w:hAnsi="Times New Roman" w:eastAsia="Times New Roman" w:cs="Times New Roman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Рок важења цена наведених под тачком 4 износи_____________дана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Рок важења гаранције на инвертер________________(минимално 5 година)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Рок важења гаранције на соларне панеле___________(минимално 10 година)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Процењени износ произведене електричне енергије у периоду од три године__________ (оквирно 15.000 kWh)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Потпис и печат подносиоца</w:t>
      </w:r>
    </w:p>
    <w:p>
      <w:pPr>
        <w:rPr>
          <w:rFonts w:ascii="Times New Roman" w:hAnsi="Times New Roman" w:eastAsia="Times New Roman" w:cs="Times New Roman"/>
        </w:rPr>
      </w:pPr>
    </w:p>
    <w:p>
      <w:pPr>
        <w:spacing w:after="0"/>
        <w:rPr>
          <w:rFonts w:ascii="Times New Roman" w:hAnsi="Times New Roman" w:eastAsia="Times New Roman" w:cs="Times New Roman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16"/>
    <w:rsid w:val="00252D16"/>
    <w:rsid w:val="00367779"/>
    <w:rsid w:val="005F48C1"/>
    <w:rsid w:val="00617457"/>
    <w:rsid w:val="006D12B1"/>
    <w:rsid w:val="00B94917"/>
    <w:rsid w:val="00C052B6"/>
    <w:rsid w:val="00CF50E7"/>
    <w:rsid w:val="00D5546D"/>
    <w:rsid w:val="00DC0A8E"/>
    <w:rsid w:val="00F50F55"/>
    <w:rsid w:val="00F64436"/>
    <w:rsid w:val="00FE530E"/>
    <w:rsid w:val="2E1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564</Words>
  <Characters>3219</Characters>
  <Lines>26</Lines>
  <Paragraphs>7</Paragraphs>
  <TotalTime>3</TotalTime>
  <ScaleCrop>false</ScaleCrop>
  <LinksUpToDate>false</LinksUpToDate>
  <CharactersWithSpaces>3776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2022-09-29T11:51:00Z</dcterms:created>
  <dc:creator>grujsasa</dc:creator>
  <cp:lastModifiedBy>GO Zvezdara - Odsek za informi</cp:lastModifiedBy>
  <dcterms:modified xsi:type="dcterms:W3CDTF">2022-10-04T13:02:46Z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DEBEA1A7DAFB4D7EA5138544145932C6</vt:lpwstr>
  </property>
</Properties>
</file>